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69FF" w14:textId="77777777" w:rsidR="00AE3D25" w:rsidRDefault="00AE3D25" w:rsidP="00AE3D25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eastAsia="en-GB"/>
        </w:rPr>
      </w:pPr>
    </w:p>
    <w:p w14:paraId="5A7A6368" w14:textId="77777777" w:rsidR="00AE3D25" w:rsidRDefault="00AE3D25" w:rsidP="00AE3D25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eastAsia="en-GB"/>
        </w:rPr>
      </w:pPr>
    </w:p>
    <w:p w14:paraId="24446BB8" w14:textId="77777777" w:rsidR="00AE3D25" w:rsidRDefault="00AE3D25" w:rsidP="00AE3D25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eastAsia="en-GB"/>
        </w:rPr>
      </w:pPr>
      <w:proofErr w:type="spellStart"/>
      <w:r>
        <w:rPr>
          <w:rFonts w:ascii="Arial Narrow" w:eastAsia="Times New Roman" w:hAnsi="Arial Narrow" w:cs="Calibri"/>
          <w:b/>
          <w:bCs/>
          <w:color w:val="000000"/>
          <w:lang w:eastAsia="en-GB"/>
        </w:rPr>
        <w:t>R</w:t>
      </w:r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aportul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anual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cu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privire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la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remunerațiile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</w:t>
      </w:r>
    </w:p>
    <w:p w14:paraId="6FE52AA3" w14:textId="77777777" w:rsidR="00AE3D25" w:rsidRPr="00AE3D25" w:rsidRDefault="00AE3D25" w:rsidP="00AE3D25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eastAsia="en-GB"/>
        </w:rPr>
      </w:pP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și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alte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avantaje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acordate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administratorilor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și</w:t>
      </w:r>
      <w:proofErr w:type="spellEnd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 xml:space="preserve"> </w:t>
      </w:r>
      <w:proofErr w:type="spellStart"/>
      <w:r w:rsidRPr="00AE3D25">
        <w:rPr>
          <w:rFonts w:ascii="Arial Narrow" w:eastAsia="Times New Roman" w:hAnsi="Arial Narrow" w:cs="Calibri"/>
          <w:b/>
          <w:bCs/>
          <w:color w:val="000000"/>
          <w:lang w:eastAsia="en-GB"/>
        </w:rPr>
        <w:t>directorilor</w:t>
      </w:r>
      <w:proofErr w:type="spellEnd"/>
    </w:p>
    <w:p w14:paraId="45A1A347" w14:textId="77777777" w:rsidR="00AE3D25" w:rsidRDefault="00AE3D25" w:rsidP="00AE3D25">
      <w:pPr>
        <w:ind w:firstLine="720"/>
        <w:jc w:val="both"/>
      </w:pPr>
    </w:p>
    <w:p w14:paraId="6501C291" w14:textId="77777777" w:rsidR="00AE3D25" w:rsidRDefault="00AE3D25" w:rsidP="00AE3D25">
      <w:pPr>
        <w:ind w:firstLine="720"/>
        <w:jc w:val="both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Remunerare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o imagine de </w:t>
      </w:r>
      <w:proofErr w:type="spellStart"/>
      <w:r>
        <w:t>ansamblu</w:t>
      </w:r>
      <w:proofErr w:type="spellEnd"/>
      <w:r>
        <w:t xml:space="preserve"> a </w:t>
      </w:r>
      <w:proofErr w:type="spellStart"/>
      <w:r>
        <w:t>remunerațiilor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beneficiilor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formă</w:t>
      </w:r>
      <w:proofErr w:type="spellEnd"/>
      <w:r>
        <w:t xml:space="preserve">,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ultimului</w:t>
      </w:r>
      <w:proofErr w:type="spellEnd"/>
      <w:r>
        <w:t xml:space="preserve"> </w:t>
      </w:r>
      <w:proofErr w:type="spellStart"/>
      <w:r>
        <w:t>exercițiu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conducătorilor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individual,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nou </w:t>
      </w:r>
      <w:proofErr w:type="spellStart"/>
      <w:r>
        <w:t>numiți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foștilor</w:t>
      </w:r>
      <w:proofErr w:type="spellEnd"/>
      <w:r>
        <w:t xml:space="preserve"> </w:t>
      </w:r>
      <w:proofErr w:type="spellStart"/>
      <w:r>
        <w:t>conducători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Remunerare</w:t>
      </w:r>
      <w:proofErr w:type="spellEnd"/>
      <w:r>
        <w:t xml:space="preserve">. </w:t>
      </w:r>
    </w:p>
    <w:p w14:paraId="0F922479" w14:textId="77777777" w:rsidR="00AE3D25" w:rsidRDefault="00AE3D25" w:rsidP="00AE3D25">
      <w:pPr>
        <w:ind w:firstLine="720"/>
        <w:jc w:val="both"/>
      </w:pPr>
      <w:proofErr w:type="spellStart"/>
      <w:r>
        <w:t>Politica</w:t>
      </w:r>
      <w:proofErr w:type="spellEnd"/>
      <w:r>
        <w:t xml:space="preserve"> de </w:t>
      </w:r>
      <w:proofErr w:type="spellStart"/>
      <w:r>
        <w:t>remunerare</w:t>
      </w:r>
      <w:proofErr w:type="spellEnd"/>
      <w:r>
        <w:t xml:space="preserve">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care </w:t>
      </w:r>
      <w:proofErr w:type="spellStart"/>
      <w:r>
        <w:t>guvernează</w:t>
      </w:r>
      <w:proofErr w:type="spellEnd"/>
      <w:r>
        <w:t xml:space="preserve"> </w:t>
      </w:r>
      <w:proofErr w:type="spellStart"/>
      <w:r>
        <w:t>remunerarea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administratorului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directorilor</w:t>
      </w:r>
      <w:proofErr w:type="spellEnd"/>
      <w:r>
        <w:t xml:space="preserve"> </w:t>
      </w:r>
      <w:proofErr w:type="spellStart"/>
      <w:r>
        <w:t>executivi</w:t>
      </w:r>
      <w:proofErr w:type="spellEnd"/>
      <w:r>
        <w:t>.</w:t>
      </w:r>
    </w:p>
    <w:p w14:paraId="748DE9BB" w14:textId="77777777" w:rsidR="00AE3D25" w:rsidRDefault="00AE3D25" w:rsidP="00AE3D25">
      <w:pPr>
        <w:ind w:firstLine="720"/>
        <w:jc w:val="both"/>
      </w:pPr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de </w:t>
      </w:r>
      <w:proofErr w:type="spellStart"/>
      <w:r>
        <w:t>remunerare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administratorilor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directorilor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data </w:t>
      </w:r>
      <w:proofErr w:type="spellStart"/>
      <w:r>
        <w:t>numirii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data </w:t>
      </w:r>
      <w:proofErr w:type="spellStart"/>
      <w:r>
        <w:t>încetării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.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materie</w:t>
      </w:r>
      <w:proofErr w:type="spellEnd"/>
      <w:r>
        <w:t xml:space="preserve"> de </w:t>
      </w:r>
      <w:proofErr w:type="spellStart"/>
      <w:r>
        <w:t>remunerare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acționari</w:t>
      </w:r>
      <w:proofErr w:type="spellEnd"/>
      <w:r>
        <w:t>, sunt:</w:t>
      </w:r>
    </w:p>
    <w:p w14:paraId="034C987C" w14:textId="77777777" w:rsidR="00AE3D25" w:rsidRDefault="00AE3D25" w:rsidP="00AE3D25">
      <w:pPr>
        <w:jc w:val="both"/>
      </w:pPr>
      <w:r>
        <w:t xml:space="preserve"> a)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remunerare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aliniată</w:t>
      </w:r>
      <w:proofErr w:type="spellEnd"/>
      <w:r>
        <w:t xml:space="preserve"> la </w:t>
      </w:r>
      <w:proofErr w:type="spellStart"/>
      <w:r>
        <w:t>strategia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pe termen lung,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conflicte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>;</w:t>
      </w:r>
    </w:p>
    <w:p w14:paraId="2C826FBD" w14:textId="77777777" w:rsidR="00540B3F" w:rsidRDefault="00AE3D25" w:rsidP="00AE3D25">
      <w:pPr>
        <w:jc w:val="both"/>
      </w:pPr>
      <w:r>
        <w:t xml:space="preserve"> b) </w:t>
      </w:r>
      <w:proofErr w:type="spellStart"/>
      <w:r>
        <w:t>remunerarea</w:t>
      </w:r>
      <w:proofErr w:type="spellEnd"/>
      <w:r>
        <w:t xml:space="preserve"> </w:t>
      </w:r>
      <w:proofErr w:type="spellStart"/>
      <w:r>
        <w:t>conducătorilor</w:t>
      </w:r>
      <w:proofErr w:type="spellEnd"/>
      <w:r>
        <w:t xml:space="preserve"> </w:t>
      </w:r>
      <w:proofErr w:type="spellStart"/>
      <w:r>
        <w:t>corespunde</w:t>
      </w:r>
      <w:proofErr w:type="spellEnd"/>
      <w:r>
        <w:t xml:space="preserve"> </w:t>
      </w:r>
      <w:proofErr w:type="spellStart"/>
      <w:r>
        <w:t>prerogativelor</w:t>
      </w:r>
      <w:proofErr w:type="spellEnd"/>
      <w:r>
        <w:t xml:space="preserve">, </w:t>
      </w:r>
      <w:proofErr w:type="spellStart"/>
      <w:r>
        <w:t>sarcinilor</w:t>
      </w:r>
      <w:proofErr w:type="spellEnd"/>
      <w:r>
        <w:t xml:space="preserve">, </w:t>
      </w:r>
      <w:proofErr w:type="spellStart"/>
      <w:r>
        <w:t>competenței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responsabilităților</w:t>
      </w:r>
      <w:proofErr w:type="spellEnd"/>
      <w:r>
        <w:t xml:space="preserve"> lor;</w:t>
      </w:r>
    </w:p>
    <w:p w14:paraId="23058353" w14:textId="77777777" w:rsidR="00AE3D25" w:rsidRDefault="00AE3D25" w:rsidP="00AE3D25">
      <w:pPr>
        <w:jc w:val="both"/>
      </w:pPr>
      <w:r>
        <w:t xml:space="preserve">c) </w:t>
      </w:r>
      <w:proofErr w:type="spellStart"/>
      <w:r>
        <w:t>remunerarea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componentă</w:t>
      </w:r>
      <w:proofErr w:type="spellEnd"/>
      <w:r>
        <w:t xml:space="preserve"> </w:t>
      </w:r>
      <w:proofErr w:type="spellStart"/>
      <w:r>
        <w:t>fixă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variabilă</w:t>
      </w:r>
      <w:proofErr w:type="spellEnd"/>
      <w:r>
        <w:t xml:space="preserve">; </w:t>
      </w:r>
    </w:p>
    <w:p w14:paraId="258BD395" w14:textId="77777777" w:rsidR="00AE3D25" w:rsidRDefault="00AE3D25" w:rsidP="00AE3D25">
      <w:pPr>
        <w:jc w:val="both"/>
      </w:pPr>
      <w:r>
        <w:t xml:space="preserve">d)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componenta</w:t>
      </w:r>
      <w:proofErr w:type="spellEnd"/>
      <w:r>
        <w:t xml:space="preserve"> </w:t>
      </w:r>
      <w:proofErr w:type="spellStart"/>
      <w:r>
        <w:t>fixă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variabilă</w:t>
      </w:r>
      <w:proofErr w:type="spellEnd"/>
      <w:r>
        <w:t xml:space="preserve"> a </w:t>
      </w:r>
      <w:proofErr w:type="spellStart"/>
      <w:r>
        <w:t>remunerației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echilibru</w:t>
      </w:r>
      <w:proofErr w:type="spellEnd"/>
      <w:r>
        <w:t xml:space="preserve"> </w:t>
      </w:r>
      <w:proofErr w:type="spellStart"/>
      <w:r>
        <w:t>adecvat</w:t>
      </w:r>
      <w:proofErr w:type="spellEnd"/>
      <w:r>
        <w:t xml:space="preserve">, </w:t>
      </w:r>
      <w:proofErr w:type="spellStart"/>
      <w:r>
        <w:t>componenta</w:t>
      </w:r>
      <w:proofErr w:type="spellEnd"/>
      <w:r>
        <w:t xml:space="preserve"> </w:t>
      </w:r>
      <w:proofErr w:type="spellStart"/>
      <w:r>
        <w:t>fixă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un </w:t>
      </w:r>
      <w:proofErr w:type="spellStart"/>
      <w:r>
        <w:t>procentaj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de mare din </w:t>
      </w:r>
      <w:proofErr w:type="spellStart"/>
      <w:r>
        <w:t>totalul</w:t>
      </w:r>
      <w:proofErr w:type="spellEnd"/>
      <w:r>
        <w:t xml:space="preserve"> </w:t>
      </w:r>
      <w:proofErr w:type="spellStart"/>
      <w:r>
        <w:t>remunerației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flexibile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componentele</w:t>
      </w:r>
      <w:proofErr w:type="spellEnd"/>
      <w:r>
        <w:t xml:space="preserve"> </w:t>
      </w:r>
      <w:proofErr w:type="spellStart"/>
      <w:r>
        <w:t>variabile</w:t>
      </w:r>
      <w:proofErr w:type="spellEnd"/>
      <w:r>
        <w:t xml:space="preserve"> ale </w:t>
      </w:r>
      <w:proofErr w:type="spellStart"/>
      <w:r>
        <w:t>remunerației</w:t>
      </w:r>
      <w:proofErr w:type="spellEnd"/>
      <w:r>
        <w:t>;</w:t>
      </w:r>
    </w:p>
    <w:p w14:paraId="0040B919" w14:textId="77777777" w:rsidR="00AE3D25" w:rsidRDefault="00AE3D25" w:rsidP="00AE3D25">
      <w:pPr>
        <w:jc w:val="both"/>
      </w:pPr>
      <w:r>
        <w:t xml:space="preserve"> e) </w:t>
      </w:r>
      <w:proofErr w:type="spellStart"/>
      <w:r>
        <w:t>remunerația</w:t>
      </w:r>
      <w:proofErr w:type="spellEnd"/>
      <w:r>
        <w:t xml:space="preserve"> </w:t>
      </w:r>
      <w:proofErr w:type="spellStart"/>
      <w:r>
        <w:t>variabilă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de </w:t>
      </w:r>
      <w:proofErr w:type="spellStart"/>
      <w:r>
        <w:t>performanță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remunerației</w:t>
      </w:r>
      <w:proofErr w:type="spellEnd"/>
      <w:r>
        <w:t xml:space="preserve"> </w:t>
      </w:r>
      <w:proofErr w:type="spellStart"/>
      <w:r>
        <w:t>variabile</w:t>
      </w:r>
      <w:proofErr w:type="spellEnd"/>
      <w:r>
        <w:t xml:space="preserve"> se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o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combină</w:t>
      </w:r>
      <w:proofErr w:type="spellEnd"/>
      <w:r>
        <w:t xml:space="preserve"> </w:t>
      </w:r>
      <w:proofErr w:type="spellStart"/>
      <w:r>
        <w:t>performanțele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adecvat</w:t>
      </w:r>
      <w:proofErr w:type="spellEnd"/>
      <w:r>
        <w:t xml:space="preserve">, care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>;</w:t>
      </w:r>
    </w:p>
    <w:p w14:paraId="4E09AFE0" w14:textId="77777777" w:rsidR="00AE3D25" w:rsidRDefault="00AE3D25" w:rsidP="00AE3D25">
      <w:pPr>
        <w:jc w:val="both"/>
      </w:pPr>
      <w:r>
        <w:t xml:space="preserve"> f)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prevină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conflict de </w:t>
      </w:r>
      <w:proofErr w:type="spellStart"/>
      <w:r>
        <w:t>interese</w:t>
      </w:r>
      <w:proofErr w:type="spellEnd"/>
      <w:r>
        <w:t xml:space="preserve">; </w:t>
      </w:r>
    </w:p>
    <w:p w14:paraId="64ACFC44" w14:textId="77777777" w:rsidR="00AE3D25" w:rsidRDefault="00AE3D25" w:rsidP="00AE3D25">
      <w:pPr>
        <w:jc w:val="both"/>
      </w:pPr>
      <w:r>
        <w:t xml:space="preserve">g)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 xml:space="preserve"> cu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>.</w:t>
      </w:r>
    </w:p>
    <w:p w14:paraId="4F2B48B9" w14:textId="77777777" w:rsidR="00C25F8A" w:rsidRDefault="00C25F8A" w:rsidP="00AE3D25">
      <w:pPr>
        <w:jc w:val="both"/>
      </w:pPr>
    </w:p>
    <w:p w14:paraId="572B65B7" w14:textId="77777777" w:rsidR="00C25F8A" w:rsidRDefault="00C25F8A" w:rsidP="00AE3D25">
      <w:pPr>
        <w:jc w:val="both"/>
      </w:pPr>
    </w:p>
    <w:p w14:paraId="4AAA807A" w14:textId="77777777" w:rsidR="00C25F8A" w:rsidRDefault="00C25F8A" w:rsidP="00AE3D25">
      <w:pPr>
        <w:jc w:val="both"/>
      </w:pPr>
    </w:p>
    <w:p w14:paraId="133A62AD" w14:textId="77777777" w:rsidR="00C25F8A" w:rsidRDefault="00C25F8A" w:rsidP="00AE3D25">
      <w:pPr>
        <w:jc w:val="both"/>
      </w:pPr>
    </w:p>
    <w:p w14:paraId="0F861A2F" w14:textId="77777777" w:rsidR="001D2B08" w:rsidRDefault="001D2B08" w:rsidP="00AE3D25">
      <w:pPr>
        <w:jc w:val="both"/>
      </w:pPr>
    </w:p>
    <w:p w14:paraId="75635563" w14:textId="77777777" w:rsidR="001D2B08" w:rsidRDefault="001D2B08" w:rsidP="00AE3D25">
      <w:pPr>
        <w:jc w:val="both"/>
      </w:pPr>
    </w:p>
    <w:p w14:paraId="647DDF1E" w14:textId="44449868" w:rsidR="00C25F8A" w:rsidRPr="00853477" w:rsidRDefault="00C25F8A" w:rsidP="00C25F8A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</w:pPr>
      <w:proofErr w:type="spellStart"/>
      <w:r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Remuneratie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-administrator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societate</w:t>
      </w:r>
      <w:proofErr w:type="spellEnd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</w:t>
      </w:r>
      <w:proofErr w:type="spellStart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în</w:t>
      </w:r>
      <w:proofErr w:type="spellEnd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</w:t>
      </w:r>
      <w:proofErr w:type="spellStart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ultimii</w:t>
      </w:r>
      <w:proofErr w:type="spellEnd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3 ani</w:t>
      </w:r>
    </w:p>
    <w:p w14:paraId="4BE56122" w14:textId="77777777" w:rsidR="00C25F8A" w:rsidRDefault="00C25F8A" w:rsidP="00C25F8A"/>
    <w:tbl>
      <w:tblPr>
        <w:tblStyle w:val="Tabelgril"/>
        <w:tblW w:w="0" w:type="auto"/>
        <w:tblInd w:w="675" w:type="dxa"/>
        <w:tblLook w:val="04A0" w:firstRow="1" w:lastRow="0" w:firstColumn="1" w:lastColumn="0" w:noHBand="0" w:noVBand="1"/>
      </w:tblPr>
      <w:tblGrid>
        <w:gridCol w:w="3946"/>
        <w:gridCol w:w="3709"/>
      </w:tblGrid>
      <w:tr w:rsidR="00C25F8A" w14:paraId="67913CE3" w14:textId="77777777" w:rsidTr="00430403">
        <w:tc>
          <w:tcPr>
            <w:tcW w:w="3946" w:type="dxa"/>
          </w:tcPr>
          <w:p w14:paraId="39CC2A05" w14:textId="13C65369" w:rsidR="00C25F8A" w:rsidRPr="00853477" w:rsidRDefault="00C25F8A" w:rsidP="00430403">
            <w:pPr>
              <w:jc w:val="center"/>
              <w:rPr>
                <w:b/>
              </w:rPr>
            </w:pPr>
            <w:r w:rsidRPr="00853477">
              <w:rPr>
                <w:b/>
              </w:rPr>
              <w:t>AN</w:t>
            </w:r>
            <w:r w:rsidR="001D2B08">
              <w:rPr>
                <w:b/>
              </w:rPr>
              <w:t>UL</w:t>
            </w:r>
          </w:p>
        </w:tc>
        <w:tc>
          <w:tcPr>
            <w:tcW w:w="3709" w:type="dxa"/>
          </w:tcPr>
          <w:p w14:paraId="6874E565" w14:textId="28C9DCC0" w:rsidR="00C25F8A" w:rsidRPr="00853477" w:rsidRDefault="00C25F8A" w:rsidP="00430403">
            <w:pPr>
              <w:jc w:val="center"/>
              <w:rPr>
                <w:b/>
              </w:rPr>
            </w:pPr>
            <w:proofErr w:type="gramStart"/>
            <w:r w:rsidRPr="00853477">
              <w:rPr>
                <w:b/>
              </w:rPr>
              <w:t>SUME</w:t>
            </w:r>
            <w:r>
              <w:rPr>
                <w:b/>
              </w:rPr>
              <w:t xml:space="preserve">  BRUTE</w:t>
            </w:r>
            <w:proofErr w:type="gramEnd"/>
          </w:p>
        </w:tc>
      </w:tr>
      <w:tr w:rsidR="00C25F8A" w14:paraId="52C998D3" w14:textId="77777777" w:rsidTr="00430403">
        <w:tc>
          <w:tcPr>
            <w:tcW w:w="3946" w:type="dxa"/>
          </w:tcPr>
          <w:p w14:paraId="49D9D191" w14:textId="77777777" w:rsidR="00C25F8A" w:rsidRPr="001D2B08" w:rsidRDefault="00C25F8A" w:rsidP="00430403">
            <w:pPr>
              <w:jc w:val="center"/>
              <w:rPr>
                <w:b/>
                <w:bCs/>
              </w:rPr>
            </w:pPr>
            <w:r w:rsidRPr="001D2B08">
              <w:rPr>
                <w:b/>
                <w:bCs/>
              </w:rPr>
              <w:t>2024</w:t>
            </w:r>
          </w:p>
        </w:tc>
        <w:tc>
          <w:tcPr>
            <w:tcW w:w="3709" w:type="dxa"/>
          </w:tcPr>
          <w:p w14:paraId="4449803E" w14:textId="223D74BF" w:rsidR="00C25F8A" w:rsidRPr="001D2B08" w:rsidRDefault="00C25F8A" w:rsidP="00430403">
            <w:pPr>
              <w:jc w:val="center"/>
              <w:rPr>
                <w:b/>
                <w:bCs/>
              </w:rPr>
            </w:pPr>
            <w:r w:rsidRPr="001D2B08">
              <w:rPr>
                <w:b/>
                <w:bCs/>
              </w:rPr>
              <w:t>7.800</w:t>
            </w:r>
          </w:p>
        </w:tc>
      </w:tr>
      <w:tr w:rsidR="00C25F8A" w14:paraId="5544DA31" w14:textId="77777777" w:rsidTr="00430403">
        <w:tc>
          <w:tcPr>
            <w:tcW w:w="3946" w:type="dxa"/>
          </w:tcPr>
          <w:p w14:paraId="1AF8A960" w14:textId="77777777" w:rsidR="00C25F8A" w:rsidRPr="001D2B08" w:rsidRDefault="00C25F8A" w:rsidP="00430403">
            <w:pPr>
              <w:jc w:val="center"/>
              <w:rPr>
                <w:b/>
                <w:bCs/>
              </w:rPr>
            </w:pPr>
            <w:r w:rsidRPr="001D2B08">
              <w:rPr>
                <w:b/>
                <w:bCs/>
              </w:rPr>
              <w:t>2023</w:t>
            </w:r>
          </w:p>
        </w:tc>
        <w:tc>
          <w:tcPr>
            <w:tcW w:w="3709" w:type="dxa"/>
          </w:tcPr>
          <w:p w14:paraId="50868FBB" w14:textId="29BF89D1" w:rsidR="00C25F8A" w:rsidRPr="001D2B08" w:rsidRDefault="00C25F8A" w:rsidP="00430403">
            <w:pPr>
              <w:jc w:val="center"/>
              <w:rPr>
                <w:b/>
                <w:bCs/>
              </w:rPr>
            </w:pPr>
            <w:r w:rsidRPr="001D2B08">
              <w:rPr>
                <w:b/>
                <w:bCs/>
              </w:rPr>
              <w:t>7.039</w:t>
            </w:r>
          </w:p>
        </w:tc>
      </w:tr>
      <w:tr w:rsidR="00C25F8A" w14:paraId="0CE50D8B" w14:textId="77777777" w:rsidTr="00430403">
        <w:tc>
          <w:tcPr>
            <w:tcW w:w="3946" w:type="dxa"/>
          </w:tcPr>
          <w:p w14:paraId="4D735ACC" w14:textId="77777777" w:rsidR="00C25F8A" w:rsidRPr="001D2B08" w:rsidRDefault="00C25F8A" w:rsidP="00430403">
            <w:pPr>
              <w:jc w:val="center"/>
              <w:rPr>
                <w:b/>
                <w:bCs/>
              </w:rPr>
            </w:pPr>
            <w:r w:rsidRPr="001D2B08">
              <w:rPr>
                <w:b/>
                <w:bCs/>
              </w:rPr>
              <w:t>2022</w:t>
            </w:r>
          </w:p>
        </w:tc>
        <w:tc>
          <w:tcPr>
            <w:tcW w:w="3709" w:type="dxa"/>
          </w:tcPr>
          <w:p w14:paraId="5D6F2B82" w14:textId="3B1DA046" w:rsidR="00C25F8A" w:rsidRPr="001D2B08" w:rsidRDefault="00C25F8A" w:rsidP="00430403">
            <w:pPr>
              <w:jc w:val="center"/>
              <w:rPr>
                <w:b/>
                <w:bCs/>
              </w:rPr>
            </w:pPr>
            <w:r w:rsidRPr="001D2B08">
              <w:rPr>
                <w:b/>
                <w:bCs/>
              </w:rPr>
              <w:t>6.717</w:t>
            </w:r>
          </w:p>
        </w:tc>
      </w:tr>
    </w:tbl>
    <w:p w14:paraId="4A4555E0" w14:textId="77777777" w:rsidR="00C25F8A" w:rsidRDefault="00C25F8A" w:rsidP="00C25F8A"/>
    <w:p w14:paraId="60FC5E0C" w14:textId="77777777" w:rsidR="00C25F8A" w:rsidRDefault="00C25F8A" w:rsidP="00C25F8A"/>
    <w:p w14:paraId="4CB0CCDF" w14:textId="77777777" w:rsidR="00C25F8A" w:rsidRPr="001D2B08" w:rsidRDefault="00C25F8A" w:rsidP="00C25F8A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1D2B08">
        <w:rPr>
          <w:rFonts w:ascii="Times New Roman" w:hAnsi="Times New Roman" w:cs="Times New Roman"/>
          <w:b/>
          <w:bCs/>
          <w:lang w:val="ro-RO"/>
        </w:rPr>
        <w:t>Administrator,</w:t>
      </w:r>
    </w:p>
    <w:p w14:paraId="35B07109" w14:textId="6E1C4155" w:rsidR="00C25F8A" w:rsidRPr="001D2B08" w:rsidRDefault="00C25F8A" w:rsidP="00C25F8A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1D2B08">
        <w:rPr>
          <w:rFonts w:ascii="Times New Roman" w:hAnsi="Times New Roman" w:cs="Times New Roman"/>
          <w:b/>
          <w:bCs/>
          <w:lang w:val="ro-RO"/>
        </w:rPr>
        <w:t>S</w:t>
      </w:r>
      <w:r w:rsidR="001D2B08">
        <w:rPr>
          <w:rFonts w:ascii="Times New Roman" w:hAnsi="Times New Roman" w:cs="Times New Roman"/>
          <w:b/>
          <w:bCs/>
          <w:lang w:val="ro-RO"/>
        </w:rPr>
        <w:t>TANCIULESCU MARIAN</w:t>
      </w:r>
    </w:p>
    <w:p w14:paraId="053A9204" w14:textId="77777777" w:rsidR="00C25F8A" w:rsidRPr="001D2B08" w:rsidRDefault="00C25F8A" w:rsidP="00AE3D25">
      <w:pPr>
        <w:jc w:val="both"/>
        <w:rPr>
          <w:rFonts w:ascii="Times New Roman" w:hAnsi="Times New Roman" w:cs="Times New Roman"/>
          <w:b/>
          <w:bCs/>
          <w:lang w:val="ro-RO"/>
        </w:rPr>
      </w:pPr>
    </w:p>
    <w:p w14:paraId="31DC9A10" w14:textId="77777777" w:rsidR="00C25F8A" w:rsidRDefault="00C25F8A" w:rsidP="00AE3D25">
      <w:pPr>
        <w:jc w:val="both"/>
      </w:pPr>
    </w:p>
    <w:p w14:paraId="1930908A" w14:textId="77777777" w:rsidR="00C25F8A" w:rsidRDefault="00C25F8A" w:rsidP="00AE3D25">
      <w:pPr>
        <w:jc w:val="both"/>
      </w:pPr>
    </w:p>
    <w:p w14:paraId="7B580822" w14:textId="77777777" w:rsidR="00C25F8A" w:rsidRDefault="00C25F8A" w:rsidP="00AE3D25">
      <w:pPr>
        <w:jc w:val="both"/>
      </w:pPr>
    </w:p>
    <w:p w14:paraId="700005AC" w14:textId="77777777" w:rsidR="00C25F8A" w:rsidRDefault="00C25F8A" w:rsidP="00AE3D25">
      <w:pPr>
        <w:jc w:val="both"/>
      </w:pPr>
    </w:p>
    <w:p w14:paraId="67701707" w14:textId="77777777" w:rsidR="00C25F8A" w:rsidRDefault="00C25F8A" w:rsidP="00AE3D25">
      <w:pPr>
        <w:jc w:val="both"/>
      </w:pPr>
    </w:p>
    <w:p w14:paraId="24AD0BB5" w14:textId="77777777" w:rsidR="00C25F8A" w:rsidRDefault="00C25F8A" w:rsidP="00AE3D25">
      <w:pPr>
        <w:jc w:val="both"/>
      </w:pPr>
    </w:p>
    <w:sectPr w:rsidR="00C25F8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35FA" w14:textId="77777777" w:rsidR="000174CC" w:rsidRDefault="000174CC" w:rsidP="007A25BB">
      <w:pPr>
        <w:spacing w:after="0" w:line="240" w:lineRule="auto"/>
      </w:pPr>
      <w:r>
        <w:separator/>
      </w:r>
    </w:p>
  </w:endnote>
  <w:endnote w:type="continuationSeparator" w:id="0">
    <w:p w14:paraId="2BB15FFB" w14:textId="77777777" w:rsidR="000174CC" w:rsidRDefault="000174CC" w:rsidP="007A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B0B2" w14:textId="77777777" w:rsidR="000174CC" w:rsidRDefault="000174CC" w:rsidP="007A25BB">
      <w:pPr>
        <w:spacing w:after="0" w:line="240" w:lineRule="auto"/>
      </w:pPr>
      <w:r>
        <w:separator/>
      </w:r>
    </w:p>
  </w:footnote>
  <w:footnote w:type="continuationSeparator" w:id="0">
    <w:p w14:paraId="369A60EB" w14:textId="77777777" w:rsidR="000174CC" w:rsidRDefault="000174CC" w:rsidP="007A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FA56" w14:textId="759D9CD8" w:rsidR="007A25BB" w:rsidRDefault="007A25BB" w:rsidP="007A25BB">
    <w:pPr>
      <w:spacing w:after="0" w:line="240" w:lineRule="auto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>ROMANIA</w:t>
    </w:r>
  </w:p>
  <w:p w14:paraId="19BB99B9" w14:textId="77777777" w:rsidR="007A25BB" w:rsidRDefault="007A25BB" w:rsidP="007A25BB">
    <w:pPr>
      <w:spacing w:after="0" w:line="240" w:lineRule="auto"/>
      <w:jc w:val="center"/>
      <w:rPr>
        <w:rFonts w:ascii="Times New Roman" w:eastAsia="Times New Roman" w:hAnsi="Times New Roman" w:cs="Times New Roman"/>
        <w:b/>
        <w:u w:val="single"/>
        <w:lang w:val="ro-RO"/>
      </w:rPr>
    </w:pPr>
    <w:r>
      <w:rPr>
        <w:rFonts w:ascii="Times New Roman" w:eastAsia="Times New Roman" w:hAnsi="Times New Roman" w:cs="Times New Roman"/>
        <w:b/>
        <w:u w:val="single"/>
        <w:lang w:val="ro-RO"/>
      </w:rPr>
      <w:t>S.C. SERVICII PUBLICE CASIMCEA S.R.L.</w:t>
    </w:r>
  </w:p>
  <w:p w14:paraId="4D051803" w14:textId="77777777" w:rsidR="007A25BB" w:rsidRDefault="007A25BB" w:rsidP="007A25BB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ro-RO"/>
      </w:rPr>
    </w:pPr>
    <w:r>
      <w:rPr>
        <w:rFonts w:ascii="Times New Roman" w:eastAsia="Times New Roman" w:hAnsi="Times New Roman" w:cs="Times New Roman"/>
        <w:b/>
        <w:lang w:val="ro-RO"/>
      </w:rPr>
      <w:t>JUDETUL TULCEA</w:t>
    </w:r>
  </w:p>
  <w:p w14:paraId="577701B5" w14:textId="77777777" w:rsidR="007A25BB" w:rsidRDefault="007A25BB" w:rsidP="007A25BB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ro-RO"/>
      </w:rPr>
    </w:pPr>
    <w:r>
      <w:rPr>
        <w:rFonts w:ascii="Times New Roman" w:eastAsia="Times New Roman" w:hAnsi="Times New Roman" w:cs="Times New Roman"/>
        <w:b/>
        <w:lang w:val="ro-RO"/>
      </w:rPr>
      <w:t>C.U.I. : 28260493, J36/134/2011 DIN 28.03.2011</w:t>
    </w:r>
  </w:p>
  <w:p w14:paraId="0B8955B3" w14:textId="77777777" w:rsidR="007A25BB" w:rsidRDefault="007A25BB" w:rsidP="007A25BB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 xml:space="preserve">Adresa : Localitatea Casimcea, str. Principala, Nr. 52, </w:t>
    </w:r>
    <w:proofErr w:type="spellStart"/>
    <w:r>
      <w:rPr>
        <w:rFonts w:ascii="Times New Roman" w:eastAsia="Times New Roman" w:hAnsi="Times New Roman" w:cs="Times New Roman"/>
        <w:lang w:val="ro-RO"/>
      </w:rPr>
      <w:t>Caminul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Cultural, camera 1,</w:t>
    </w:r>
  </w:p>
  <w:p w14:paraId="2EA95872" w14:textId="77777777" w:rsidR="007A25BB" w:rsidRDefault="007A25BB" w:rsidP="007A25BB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proofErr w:type="spellStart"/>
    <w:r>
      <w:rPr>
        <w:rFonts w:ascii="Times New Roman" w:eastAsia="Times New Roman" w:hAnsi="Times New Roman" w:cs="Times New Roman"/>
        <w:lang w:val="ro-RO"/>
      </w:rPr>
      <w:t>Judetul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Tulcea, cod </w:t>
    </w:r>
    <w:proofErr w:type="spellStart"/>
    <w:r>
      <w:rPr>
        <w:rFonts w:ascii="Times New Roman" w:eastAsia="Times New Roman" w:hAnsi="Times New Roman" w:cs="Times New Roman"/>
        <w:lang w:val="ro-RO"/>
      </w:rPr>
      <w:t>postal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827025, </w:t>
    </w:r>
    <w:proofErr w:type="spellStart"/>
    <w:r>
      <w:rPr>
        <w:rFonts w:ascii="Times New Roman" w:eastAsia="Times New Roman" w:hAnsi="Times New Roman" w:cs="Times New Roman"/>
        <w:lang w:val="ro-RO"/>
      </w:rPr>
      <w:t>com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. Casimcea, </w:t>
    </w:r>
    <w:proofErr w:type="spellStart"/>
    <w:r>
      <w:rPr>
        <w:rFonts w:ascii="Times New Roman" w:eastAsia="Times New Roman" w:hAnsi="Times New Roman" w:cs="Times New Roman"/>
        <w:lang w:val="ro-RO"/>
      </w:rPr>
      <w:t>Judetul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Tulcea,</w:t>
    </w:r>
  </w:p>
  <w:p w14:paraId="31B2CB88" w14:textId="77777777" w:rsidR="007A25BB" w:rsidRDefault="007A25BB" w:rsidP="007A25BB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 xml:space="preserve">Mail : </w:t>
    </w:r>
    <w:hyperlink r:id="rId1" w:history="1">
      <w:r>
        <w:rPr>
          <w:rStyle w:val="Hyperlink"/>
          <w:rFonts w:ascii="Times New Roman" w:eastAsia="Times New Roman" w:hAnsi="Times New Roman" w:cs="Times New Roman"/>
          <w:lang w:val="ro-RO"/>
        </w:rPr>
        <w:t>serviciipublicecasimcea@gmail.com</w:t>
      </w:r>
    </w:hyperlink>
    <w:r>
      <w:rPr>
        <w:rFonts w:ascii="Times New Roman" w:eastAsia="Times New Roman" w:hAnsi="Times New Roman" w:cs="Times New Roman"/>
        <w:color w:val="000000"/>
        <w:lang w:val="ro-RO"/>
      </w:rPr>
      <w:t xml:space="preserve">, </w:t>
    </w:r>
    <w:r>
      <w:rPr>
        <w:rFonts w:ascii="Times New Roman" w:eastAsia="Times New Roman" w:hAnsi="Times New Roman" w:cs="Times New Roman"/>
        <w:lang w:val="ro-RO"/>
      </w:rPr>
      <w:t>Tel : 0240/576717, ,Capital social:1000 lei.</w:t>
    </w:r>
  </w:p>
  <w:p w14:paraId="3336EA23" w14:textId="77777777" w:rsidR="007A25BB" w:rsidRDefault="007A25BB" w:rsidP="007A25BB">
    <w:pPr>
      <w:spacing w:after="0" w:line="240" w:lineRule="auto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>_____________________________________________________________________</w:t>
    </w:r>
  </w:p>
  <w:p w14:paraId="61BEC9D1" w14:textId="77777777" w:rsidR="007A25BB" w:rsidRDefault="007A25B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FB"/>
    <w:rsid w:val="000174CC"/>
    <w:rsid w:val="00021C92"/>
    <w:rsid w:val="00117333"/>
    <w:rsid w:val="001D2B08"/>
    <w:rsid w:val="0044241E"/>
    <w:rsid w:val="00464D11"/>
    <w:rsid w:val="004D1AB1"/>
    <w:rsid w:val="00540B3F"/>
    <w:rsid w:val="007A25BB"/>
    <w:rsid w:val="007C26FB"/>
    <w:rsid w:val="008111A1"/>
    <w:rsid w:val="00AE3D25"/>
    <w:rsid w:val="00C25F8A"/>
    <w:rsid w:val="00CA2F34"/>
    <w:rsid w:val="00CF0C4A"/>
    <w:rsid w:val="00F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41F0"/>
  <w15:docId w15:val="{5FDE27B6-E26E-4B35-A3F6-3D6C3E67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A2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A25BB"/>
  </w:style>
  <w:style w:type="paragraph" w:styleId="Subsol">
    <w:name w:val="footer"/>
    <w:basedOn w:val="Normal"/>
    <w:link w:val="SubsolCaracter"/>
    <w:uiPriority w:val="99"/>
    <w:unhideWhenUsed/>
    <w:rsid w:val="007A2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A25BB"/>
  </w:style>
  <w:style w:type="character" w:styleId="Hyperlink">
    <w:name w:val="Hyperlink"/>
    <w:basedOn w:val="Fontdeparagrafimplicit"/>
    <w:uiPriority w:val="99"/>
    <w:semiHidden/>
    <w:unhideWhenUsed/>
    <w:rsid w:val="007A25BB"/>
    <w:rPr>
      <w:color w:val="0000FF"/>
      <w:u w:val="single"/>
    </w:rPr>
  </w:style>
  <w:style w:type="table" w:styleId="Tabelgril">
    <w:name w:val="Table Grid"/>
    <w:basedOn w:val="TabelNormal"/>
    <w:uiPriority w:val="59"/>
    <w:rsid w:val="00C2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ipublicecasimc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Nita georgeta</cp:lastModifiedBy>
  <cp:revision>7</cp:revision>
  <cp:lastPrinted>2026-01-29T10:36:00Z</cp:lastPrinted>
  <dcterms:created xsi:type="dcterms:W3CDTF">2026-01-29T09:04:00Z</dcterms:created>
  <dcterms:modified xsi:type="dcterms:W3CDTF">2026-02-01T17:35:00Z</dcterms:modified>
</cp:coreProperties>
</file>